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92B" w14:textId="77777777" w:rsidR="002B274D" w:rsidRDefault="002B274D" w:rsidP="004B7B26">
      <w:pPr>
        <w:widowControl/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 w:val="32"/>
          <w:szCs w:val="44"/>
        </w:rPr>
      </w:pPr>
      <w:r w:rsidRPr="00161980">
        <w:rPr>
          <w:rFonts w:ascii="黑体" w:eastAsia="黑体" w:hAnsi="黑体" w:cs="宋体" w:hint="eastAsia"/>
          <w:color w:val="000000"/>
          <w:kern w:val="0"/>
          <w:sz w:val="32"/>
          <w:szCs w:val="44"/>
        </w:rPr>
        <w:t>滁州学院中层领导人员离任工作交接单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352"/>
        <w:gridCol w:w="764"/>
        <w:gridCol w:w="1980"/>
        <w:gridCol w:w="143"/>
        <w:gridCol w:w="712"/>
        <w:gridCol w:w="716"/>
        <w:gridCol w:w="420"/>
        <w:gridCol w:w="290"/>
        <w:gridCol w:w="760"/>
        <w:gridCol w:w="1927"/>
      </w:tblGrid>
      <w:tr w:rsidR="002B274D" w:rsidRPr="00161980" w14:paraId="52917F75" w14:textId="77777777" w:rsidTr="000C0197">
        <w:trPr>
          <w:trHeight w:val="680"/>
          <w:jc w:val="center"/>
        </w:trPr>
        <w:tc>
          <w:tcPr>
            <w:tcW w:w="1166" w:type="pct"/>
            <w:gridSpan w:val="2"/>
            <w:shd w:val="clear" w:color="auto" w:fill="auto"/>
            <w:vAlign w:val="center"/>
          </w:tcPr>
          <w:p w14:paraId="2364F57C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64" w:type="pct"/>
            <w:gridSpan w:val="2"/>
            <w:shd w:val="clear" w:color="auto" w:fill="auto"/>
            <w:vAlign w:val="center"/>
          </w:tcPr>
          <w:p w14:paraId="732A5702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gridSpan w:val="4"/>
            <w:shd w:val="clear" w:color="auto" w:fill="auto"/>
            <w:vAlign w:val="center"/>
          </w:tcPr>
          <w:p w14:paraId="3A58D413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</w:t>
            </w: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14:paraId="7CCCA98D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74D" w:rsidRPr="00161980" w14:paraId="70834BD9" w14:textId="77777777" w:rsidTr="000C0197">
        <w:trPr>
          <w:trHeight w:val="680"/>
          <w:jc w:val="center"/>
        </w:trPr>
        <w:tc>
          <w:tcPr>
            <w:tcW w:w="1166" w:type="pct"/>
            <w:gridSpan w:val="2"/>
            <w:shd w:val="clear" w:color="auto" w:fill="auto"/>
            <w:vAlign w:val="center"/>
          </w:tcPr>
          <w:p w14:paraId="32D38173" w14:textId="77777777" w:rsidR="002B274D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离任干部</w:t>
            </w:r>
          </w:p>
          <w:p w14:paraId="7719D95D" w14:textId="77777777" w:rsidR="002B274D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任职期间</w:t>
            </w:r>
          </w:p>
        </w:tc>
        <w:tc>
          <w:tcPr>
            <w:tcW w:w="3834" w:type="pct"/>
            <w:gridSpan w:val="9"/>
            <w:shd w:val="clear" w:color="auto" w:fill="auto"/>
            <w:vAlign w:val="center"/>
          </w:tcPr>
          <w:p w14:paraId="35B4B4A7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自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至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B274D" w:rsidRPr="00161980" w14:paraId="24FCBFF3" w14:textId="77777777" w:rsidTr="000C0197">
        <w:trPr>
          <w:trHeight w:val="680"/>
          <w:jc w:val="center"/>
        </w:trPr>
        <w:tc>
          <w:tcPr>
            <w:tcW w:w="1166" w:type="pct"/>
            <w:gridSpan w:val="2"/>
            <w:shd w:val="clear" w:color="auto" w:fill="auto"/>
            <w:vAlign w:val="center"/>
          </w:tcPr>
          <w:p w14:paraId="7801B439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19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任免文号</w:t>
            </w:r>
          </w:p>
        </w:tc>
        <w:tc>
          <w:tcPr>
            <w:tcW w:w="1364" w:type="pct"/>
            <w:gridSpan w:val="2"/>
            <w:shd w:val="clear" w:color="auto" w:fill="auto"/>
            <w:vAlign w:val="center"/>
          </w:tcPr>
          <w:p w14:paraId="746BDA3A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pct"/>
            <w:gridSpan w:val="4"/>
            <w:shd w:val="clear" w:color="auto" w:fill="auto"/>
            <w:vAlign w:val="center"/>
          </w:tcPr>
          <w:p w14:paraId="689FD615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20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交接时间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14:paraId="56E4DCF0" w14:textId="77777777" w:rsidR="002B274D" w:rsidRPr="00161980" w:rsidRDefault="002B274D" w:rsidP="005A3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B205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1504C5" w:rsidRPr="00161980" w14:paraId="76308041" w14:textId="77777777" w:rsidTr="000C0197">
        <w:trPr>
          <w:trHeight w:val="567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  <w:hideMark/>
          </w:tcPr>
          <w:p w14:paraId="519941E1" w14:textId="77777777" w:rsidR="001504C5" w:rsidRPr="00161980" w:rsidRDefault="001504C5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交接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事项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14:paraId="7F8129B4" w14:textId="77777777" w:rsidR="001504C5" w:rsidRPr="004B53F9" w:rsidRDefault="001504C5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完成情况</w:t>
            </w:r>
          </w:p>
          <w:p w14:paraId="1929DDD9" w14:textId="77777777" w:rsidR="001504C5" w:rsidRPr="00161980" w:rsidRDefault="001504C5" w:rsidP="005A334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（打“√”）</w:t>
            </w:r>
          </w:p>
        </w:tc>
      </w:tr>
      <w:tr w:rsidR="001504C5" w:rsidRPr="00161980" w14:paraId="2416174E" w14:textId="77777777" w:rsidTr="000C0197">
        <w:trPr>
          <w:trHeight w:val="624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6E789C6E" w14:textId="77777777" w:rsidR="001504C5" w:rsidRPr="00161980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.整体工作情况：</w:t>
            </w:r>
            <w:r w:rsidRPr="00161980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 xml:space="preserve"> </w:t>
            </w:r>
          </w:p>
        </w:tc>
      </w:tr>
      <w:tr w:rsidR="001504C5" w:rsidRPr="00161980" w14:paraId="49D7B075" w14:textId="77777777" w:rsidTr="000C0197">
        <w:trPr>
          <w:trHeight w:val="624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6459C631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（1）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任期目标</w:t>
            </w:r>
            <w:r w:rsidRPr="004B53F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的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完成情况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152ABA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3E15151C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1504C5" w:rsidRPr="00161980" w14:paraId="68C8A43D" w14:textId="77777777" w:rsidTr="000C0197">
        <w:trPr>
          <w:trHeight w:val="624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7FCAA232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所负责主要工作的进展情况（特别是正在开展和应在近期开展的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工作、未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完成的重点任务）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BBD5E10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4ACE5611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1504C5" w:rsidRPr="00161980" w14:paraId="0B6C804A" w14:textId="77777777" w:rsidTr="000C0197">
        <w:trPr>
          <w:trHeight w:val="624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7A4385AF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公共资产情况：</w:t>
            </w:r>
          </w:p>
        </w:tc>
      </w:tr>
      <w:tr w:rsidR="001504C5" w:rsidRPr="00161980" w14:paraId="209E72F7" w14:textId="77777777" w:rsidTr="000C0197">
        <w:trPr>
          <w:trHeight w:val="624"/>
          <w:jc w:val="center"/>
        </w:trPr>
        <w:tc>
          <w:tcPr>
            <w:tcW w:w="1166" w:type="pct"/>
            <w:gridSpan w:val="2"/>
            <w:vMerge w:val="restart"/>
            <w:shd w:val="clear" w:color="auto" w:fill="auto"/>
            <w:vAlign w:val="center"/>
          </w:tcPr>
          <w:p w14:paraId="0F7C654D" w14:textId="77777777" w:rsidR="001504C5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 w:rsidRPr="008627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  <w:szCs w:val="21"/>
              </w:rPr>
              <w:t>（1）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所涉及岗位的财务资产情况</w:t>
            </w:r>
          </w:p>
        </w:tc>
        <w:tc>
          <w:tcPr>
            <w:tcW w:w="2875" w:type="pct"/>
            <w:gridSpan w:val="8"/>
            <w:shd w:val="clear" w:color="auto" w:fill="auto"/>
            <w:vAlign w:val="center"/>
          </w:tcPr>
          <w:p w14:paraId="3246F6FE" w14:textId="77777777" w:rsidR="001504C5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财务收支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、经费结余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等经济事项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77E34B4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6FB8D3B3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1504C5" w:rsidRPr="00161980" w14:paraId="1B3EB78B" w14:textId="77777777" w:rsidTr="000C0197">
        <w:trPr>
          <w:trHeight w:val="624"/>
          <w:jc w:val="center"/>
        </w:trPr>
        <w:tc>
          <w:tcPr>
            <w:tcW w:w="1166" w:type="pct"/>
            <w:gridSpan w:val="2"/>
            <w:vMerge/>
            <w:shd w:val="clear" w:color="auto" w:fill="auto"/>
            <w:vAlign w:val="center"/>
          </w:tcPr>
          <w:p w14:paraId="02DCB48D" w14:textId="77777777" w:rsidR="001504C5" w:rsidRPr="008627A8" w:rsidRDefault="001504C5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75" w:type="pct"/>
            <w:gridSpan w:val="8"/>
            <w:shd w:val="clear" w:color="auto" w:fill="auto"/>
            <w:vAlign w:val="center"/>
          </w:tcPr>
          <w:p w14:paraId="68072703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办公及实验用房。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5709B38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7BFFB138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1504C5" w:rsidRPr="00161980" w14:paraId="51D26E2E" w14:textId="77777777" w:rsidTr="000C0197">
        <w:trPr>
          <w:trHeight w:val="624"/>
          <w:jc w:val="center"/>
        </w:trPr>
        <w:tc>
          <w:tcPr>
            <w:tcW w:w="1166" w:type="pct"/>
            <w:gridSpan w:val="2"/>
            <w:vMerge/>
            <w:shd w:val="clear" w:color="auto" w:fill="auto"/>
            <w:vAlign w:val="center"/>
          </w:tcPr>
          <w:p w14:paraId="2C9A46EC" w14:textId="77777777" w:rsidR="001504C5" w:rsidRPr="008627A8" w:rsidRDefault="001504C5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75" w:type="pct"/>
            <w:gridSpan w:val="8"/>
            <w:shd w:val="clear" w:color="auto" w:fill="auto"/>
            <w:vAlign w:val="center"/>
          </w:tcPr>
          <w:p w14:paraId="359F8D73" w14:textId="77777777" w:rsidR="001504C5" w:rsidRDefault="001504C5" w:rsidP="005A334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办公设备、教学科研设备。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50233B8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086E381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1504C5" w:rsidRPr="00161980" w14:paraId="099EDBB4" w14:textId="77777777" w:rsidTr="000C0197">
        <w:trPr>
          <w:trHeight w:val="624"/>
          <w:jc w:val="center"/>
        </w:trPr>
        <w:tc>
          <w:tcPr>
            <w:tcW w:w="1166" w:type="pct"/>
            <w:gridSpan w:val="2"/>
            <w:vMerge/>
            <w:shd w:val="clear" w:color="auto" w:fill="auto"/>
            <w:vAlign w:val="center"/>
          </w:tcPr>
          <w:p w14:paraId="0C0A15B0" w14:textId="77777777" w:rsidR="001504C5" w:rsidRPr="008627A8" w:rsidRDefault="001504C5" w:rsidP="005A334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875" w:type="pct"/>
            <w:gridSpan w:val="8"/>
            <w:shd w:val="clear" w:color="auto" w:fill="auto"/>
            <w:vAlign w:val="center"/>
          </w:tcPr>
          <w:p w14:paraId="79EEBE13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办公家具。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6FEE77F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0C03D213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B17BF0" w:rsidRPr="00161980" w14:paraId="56223729" w14:textId="77777777" w:rsidTr="000C0197">
        <w:trPr>
          <w:trHeight w:val="920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14B6DA46" w14:textId="0BA3E419" w:rsidR="00B17BF0" w:rsidRDefault="00B17BF0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（2）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由本人使用、借用或保管的，用公款购买的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工作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软件、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办公家具、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办公设备和教学科研设备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,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包括电脑、移动硬盘、打印机、扫描仪、照相机等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（在“移交”或“调拨”下方栏内打“√”）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45E071E4" w14:textId="77777777" w:rsidR="00B17BF0" w:rsidRPr="001E638C" w:rsidRDefault="00B17BF0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4E7E1616" w14:textId="77777777" w:rsidR="00B17BF0" w:rsidRPr="001E638C" w:rsidRDefault="00B17BF0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 ）</w:t>
            </w:r>
          </w:p>
        </w:tc>
      </w:tr>
      <w:tr w:rsidR="00B17BF0" w:rsidRPr="00161980" w14:paraId="5230728B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3A24901A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7B8F66A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资产编号</w:t>
            </w: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7DD1F721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资产名称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B0296C9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数</w:t>
            </w:r>
          </w:p>
          <w:p w14:paraId="2D5F8924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量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8872DE3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移</w:t>
            </w:r>
          </w:p>
          <w:p w14:paraId="451D081D" w14:textId="6C0936C6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交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9167944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调</w:t>
            </w:r>
          </w:p>
          <w:p w14:paraId="05CD18CE" w14:textId="2C00785E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拨</w:t>
            </w: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83D4944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3953E782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5331CC53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87862D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7D74D860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069DC7E6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E0A811E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4084F71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DDC591F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64B40019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0EE628B7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B4A86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63AD72E6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101DC896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1A4CC9A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A4A0CEF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5DEF042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68ADD99E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5CB9804B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B9A2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47D5D35D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711A60A9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BFB3759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F86FFDE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49129368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0B7D0F45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5466FE57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E382CE5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1C1F0624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6D3B485A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653842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1D01B5E5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5ABD0FB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7C16F8E8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424E9831" w14:textId="7CF49B53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C317122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6FCDFD51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4C7BEFB5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9A7C02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43838A5C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85FBE5F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568A2EE6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66E9FE8E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9D78506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1C16FF30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9489D45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1C628D3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1A18E871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4899FCF5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7690541E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3B6CFDC4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50263D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20D7CA6E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117D9064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1919092C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7081A357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38642FF3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2A8D6B09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5D1B82F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37C456E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51803E90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FECFD9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1C97D8D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9E228B8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6440F1E9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17BF0" w:rsidRPr="00161980" w14:paraId="5A9C1C56" w14:textId="77777777" w:rsidTr="000C0197">
        <w:trPr>
          <w:trHeight w:val="567"/>
          <w:jc w:val="center"/>
        </w:trPr>
        <w:tc>
          <w:tcPr>
            <w:tcW w:w="494" w:type="pct"/>
            <w:shd w:val="clear" w:color="auto" w:fill="auto"/>
            <w:vAlign w:val="center"/>
          </w:tcPr>
          <w:p w14:paraId="2F411FF3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.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073882A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09" w:type="pct"/>
            <w:gridSpan w:val="3"/>
            <w:shd w:val="clear" w:color="auto" w:fill="auto"/>
            <w:vAlign w:val="center"/>
          </w:tcPr>
          <w:p w14:paraId="1B3B99C3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88693E6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3DE4B206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98E775C" w14:textId="77777777" w:rsidR="00B17BF0" w:rsidRDefault="00B17BF0" w:rsidP="005A334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3985BC78" w14:textId="77777777" w:rsidR="00B17BF0" w:rsidRPr="00161980" w:rsidRDefault="00B17BF0" w:rsidP="005A3347">
            <w:pPr>
              <w:widowControl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04C5" w:rsidRPr="00161980" w14:paraId="7AC9E942" w14:textId="77777777" w:rsidTr="000C0197">
        <w:trPr>
          <w:trHeight w:val="1021"/>
          <w:jc w:val="center"/>
        </w:trPr>
        <w:tc>
          <w:tcPr>
            <w:tcW w:w="1166" w:type="pct"/>
            <w:gridSpan w:val="2"/>
            <w:shd w:val="clear" w:color="auto" w:fill="auto"/>
            <w:vAlign w:val="center"/>
          </w:tcPr>
          <w:p w14:paraId="42E07BEF" w14:textId="77777777" w:rsidR="001504C5" w:rsidRPr="005B2D6B" w:rsidRDefault="001504C5" w:rsidP="005A334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离任单位</w:t>
            </w:r>
          </w:p>
          <w:p w14:paraId="38FF54A5" w14:textId="77777777" w:rsidR="001504C5" w:rsidRPr="00161980" w:rsidRDefault="001504C5" w:rsidP="005A334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435" w:type="pct"/>
            <w:gridSpan w:val="3"/>
            <w:shd w:val="clear" w:color="auto" w:fill="auto"/>
            <w:vAlign w:val="center"/>
          </w:tcPr>
          <w:p w14:paraId="365F0918" w14:textId="77777777" w:rsidR="001504C5" w:rsidRPr="00161980" w:rsidRDefault="001504C5" w:rsidP="005A3347">
            <w:pPr>
              <w:widowControl/>
              <w:spacing w:line="300" w:lineRule="exact"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62" w:type="pct"/>
            <w:gridSpan w:val="4"/>
            <w:shd w:val="clear" w:color="auto" w:fill="auto"/>
            <w:vAlign w:val="center"/>
          </w:tcPr>
          <w:p w14:paraId="76ECBEAC" w14:textId="77777777" w:rsidR="001504C5" w:rsidRPr="005B2D6B" w:rsidRDefault="001504C5" w:rsidP="001504C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调入</w:t>
            </w: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14:paraId="735BCE55" w14:textId="77777777" w:rsidR="001504C5" w:rsidRDefault="001504C5" w:rsidP="001504C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5B2D6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资产管理员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  <w:p w14:paraId="24078AD7" w14:textId="77777777" w:rsidR="001504C5" w:rsidRPr="00D249B0" w:rsidRDefault="001504C5" w:rsidP="001504C5">
            <w:pPr>
              <w:widowControl/>
              <w:spacing w:line="300" w:lineRule="exact"/>
              <w:ind w:firstLineChars="100" w:firstLine="22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（调任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D249B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14:paraId="50662C9A" w14:textId="77777777" w:rsidR="001504C5" w:rsidRPr="00161980" w:rsidRDefault="001504C5" w:rsidP="005A3347">
            <w:pPr>
              <w:widowControl/>
              <w:spacing w:line="300" w:lineRule="exact"/>
              <w:ind w:firstLineChars="100" w:firstLine="2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504C5" w:rsidRPr="00161980" w14:paraId="4A177BF2" w14:textId="77777777" w:rsidTr="000C0197">
        <w:trPr>
          <w:trHeight w:val="567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  <w:hideMark/>
          </w:tcPr>
          <w:p w14:paraId="26009B88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3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.人事情况：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所分管领域的岗位设置、人员状况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、人事安排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等。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14:paraId="005B82FB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完成交接（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  <w:p w14:paraId="51BC911A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）</w:t>
            </w:r>
          </w:p>
        </w:tc>
      </w:tr>
      <w:tr w:rsidR="001504C5" w:rsidRPr="00161980" w14:paraId="2783466A" w14:textId="77777777" w:rsidTr="000C0197">
        <w:trPr>
          <w:trHeight w:val="56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0E45D183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4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.文件档案资料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：</w:t>
            </w:r>
          </w:p>
        </w:tc>
      </w:tr>
      <w:tr w:rsidR="001E4093" w:rsidRPr="00161980" w14:paraId="4815B18C" w14:textId="77777777" w:rsidTr="000C0197">
        <w:trPr>
          <w:trHeight w:val="567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6518F646" w14:textId="49ACA3B6" w:rsidR="001E4093" w:rsidRPr="00161980" w:rsidRDefault="001E4093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（1）工作中形成的有保存价值的文字材料、档案以及图书、音像、图片等。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9ACCEF9" w14:textId="77777777" w:rsidR="001E4093" w:rsidRPr="001E638C" w:rsidRDefault="001E4093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458CDD61" w14:textId="77777777" w:rsidR="001E4093" w:rsidRPr="001E638C" w:rsidRDefault="001E4093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1E4093" w:rsidRPr="00161980" w14:paraId="7F80DDE8" w14:textId="77777777" w:rsidTr="000C0197">
        <w:trPr>
          <w:trHeight w:val="567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624816CB" w14:textId="577B5B17" w:rsidR="001E4093" w:rsidRPr="00161980" w:rsidRDefault="001E4093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（2）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公共账号、密码等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29F57F8" w14:textId="77777777" w:rsidR="001E4093" w:rsidRPr="001E638C" w:rsidRDefault="001E4093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35FE7FFD" w14:textId="77777777" w:rsidR="001E4093" w:rsidRPr="001E638C" w:rsidRDefault="001E4093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1E4093" w:rsidRPr="00161980" w14:paraId="5A5AF249" w14:textId="77777777" w:rsidTr="000C0197">
        <w:trPr>
          <w:trHeight w:val="567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717EA1BA" w14:textId="05CC76C0" w:rsidR="001E4093" w:rsidRPr="00161980" w:rsidRDefault="001E4093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（3）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职权范围内人、财、物等统计数据、报表资料等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20F440C" w14:textId="77777777" w:rsidR="001E4093" w:rsidRPr="001E638C" w:rsidRDefault="001E4093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 ）</w:t>
            </w:r>
          </w:p>
          <w:p w14:paraId="3EB2545B" w14:textId="77777777" w:rsidR="001E4093" w:rsidRPr="001E638C" w:rsidRDefault="001E4093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无此项交接（ </w:t>
            </w:r>
            <w:r w:rsidRPr="001E638C"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  <w:t xml:space="preserve"> </w:t>
            </w: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 xml:space="preserve"> ）</w:t>
            </w:r>
          </w:p>
        </w:tc>
      </w:tr>
      <w:tr w:rsidR="001504C5" w:rsidRPr="00161980" w14:paraId="3518D8B4" w14:textId="77777777" w:rsidTr="000C0197">
        <w:trPr>
          <w:trHeight w:val="624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0E966C8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5</w:t>
            </w:r>
            <w:r w:rsidRPr="00161980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  <w:szCs w:val="21"/>
              </w:rPr>
              <w:t>.对外交流工作：</w:t>
            </w:r>
          </w:p>
        </w:tc>
      </w:tr>
      <w:tr w:rsidR="001504C5" w:rsidRPr="00161980" w14:paraId="3607E063" w14:textId="77777777" w:rsidTr="000C0197">
        <w:trPr>
          <w:trHeight w:val="624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11408EF6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（1）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所涉及岗位相关的对外联络、交流合作、社会服务及相关工作进展情况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4B940FD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01FF3103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1504C5" w:rsidRPr="00161980" w14:paraId="25663472" w14:textId="77777777" w:rsidTr="000C0197">
        <w:trPr>
          <w:trHeight w:val="624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</w:tcPr>
          <w:p w14:paraId="68AA09B6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（2）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与校外单位签订的尚未执行完的经济合同、合作协议等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。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E4389D2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600B1D0C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1504C5" w:rsidRPr="00161980" w14:paraId="5B3F722C" w14:textId="77777777" w:rsidTr="000C0197">
        <w:trPr>
          <w:trHeight w:val="624"/>
          <w:jc w:val="center"/>
        </w:trPr>
        <w:tc>
          <w:tcPr>
            <w:tcW w:w="4041" w:type="pct"/>
            <w:gridSpan w:val="10"/>
            <w:shd w:val="clear" w:color="auto" w:fill="auto"/>
            <w:vAlign w:val="center"/>
            <w:hideMark/>
          </w:tcPr>
          <w:p w14:paraId="01363744" w14:textId="77777777" w:rsidR="001504C5" w:rsidRPr="00161980" w:rsidRDefault="001504C5" w:rsidP="005A334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  <w:szCs w:val="21"/>
              </w:rPr>
              <w:t>6.</w:t>
            </w:r>
            <w:r w:rsidRPr="0016198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尚未完成或需要说明的其他遗留问题及事项。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14:paraId="17F2EDCB" w14:textId="77777777" w:rsidR="001504C5" w:rsidRPr="001E638C" w:rsidRDefault="001504C5" w:rsidP="005A3347">
            <w:pPr>
              <w:widowControl/>
              <w:ind w:firstLineChars="100" w:firstLine="188"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完成交接（  ）</w:t>
            </w:r>
          </w:p>
          <w:p w14:paraId="5D99402A" w14:textId="77777777" w:rsidR="001504C5" w:rsidRPr="001E638C" w:rsidRDefault="001504C5" w:rsidP="005A3347">
            <w:pPr>
              <w:widowControl/>
              <w:rPr>
                <w:rFonts w:asciiTheme="minorEastAsia" w:hAnsiTheme="minorEastAsia" w:cs="宋体"/>
                <w:color w:val="000000"/>
                <w:spacing w:val="-16"/>
                <w:kern w:val="0"/>
                <w:sz w:val="22"/>
                <w:szCs w:val="21"/>
              </w:rPr>
            </w:pPr>
            <w:r w:rsidRPr="001E638C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2"/>
                <w:szCs w:val="21"/>
              </w:rPr>
              <w:t>无此项交接（  ）</w:t>
            </w:r>
          </w:p>
        </w:tc>
      </w:tr>
      <w:tr w:rsidR="002B274D" w:rsidRPr="00161980" w14:paraId="0EC4783A" w14:textId="77777777" w:rsidTr="000C0197">
        <w:trPr>
          <w:trHeight w:val="1021"/>
          <w:jc w:val="center"/>
        </w:trPr>
        <w:tc>
          <w:tcPr>
            <w:tcW w:w="1166" w:type="pct"/>
            <w:gridSpan w:val="2"/>
            <w:vAlign w:val="center"/>
          </w:tcPr>
          <w:p w14:paraId="2C0BDB27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离任人员</w:t>
            </w:r>
          </w:p>
          <w:p w14:paraId="5DE3207D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1364" w:type="pct"/>
            <w:gridSpan w:val="2"/>
            <w:vAlign w:val="center"/>
          </w:tcPr>
          <w:p w14:paraId="6D623386" w14:textId="77777777" w:rsidR="002B274D" w:rsidRPr="004B53F9" w:rsidRDefault="002B274D" w:rsidP="005A3347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990" w:type="pct"/>
            <w:gridSpan w:val="4"/>
            <w:vAlign w:val="center"/>
          </w:tcPr>
          <w:p w14:paraId="4BAD18B7" w14:textId="5E565B3C" w:rsidR="002B274D" w:rsidRPr="004B53F9" w:rsidRDefault="002B274D" w:rsidP="00C35F1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接任</w:t>
            </w:r>
            <w:r w:rsidR="00CC41E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（接手）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人员签名</w:t>
            </w:r>
          </w:p>
        </w:tc>
        <w:tc>
          <w:tcPr>
            <w:tcW w:w="1480" w:type="pct"/>
            <w:gridSpan w:val="3"/>
            <w:vAlign w:val="center"/>
          </w:tcPr>
          <w:p w14:paraId="4A99F122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2B274D" w:rsidRPr="00161980" w14:paraId="77FA1833" w14:textId="77777777" w:rsidTr="000C0197">
        <w:trPr>
          <w:trHeight w:val="1021"/>
          <w:jc w:val="center"/>
        </w:trPr>
        <w:tc>
          <w:tcPr>
            <w:tcW w:w="1166" w:type="pct"/>
            <w:gridSpan w:val="2"/>
            <w:vAlign w:val="center"/>
          </w:tcPr>
          <w:p w14:paraId="2244F881" w14:textId="558EDEAD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 w:rsidR="00C35F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主要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负责人意见</w:t>
            </w:r>
          </w:p>
          <w:p w14:paraId="4AFE1F84" w14:textId="77777777" w:rsidR="002B274D" w:rsidRPr="00161980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（副职离任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64" w:type="pct"/>
            <w:gridSpan w:val="2"/>
            <w:vAlign w:val="center"/>
          </w:tcPr>
          <w:p w14:paraId="08B1BAEF" w14:textId="77777777" w:rsidR="000C0197" w:rsidRDefault="000C0197" w:rsidP="000C019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255D26C9" w14:textId="77777777" w:rsidR="000C0197" w:rsidRDefault="000C0197" w:rsidP="000C0197">
            <w:pPr>
              <w:widowControl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1A5BD32" w14:textId="57ABB88C" w:rsidR="000C0197" w:rsidRDefault="00154150" w:rsidP="000C01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签名</w:t>
            </w:r>
            <w:r w:rsidR="000C019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（盖章）： </w:t>
            </w:r>
            <w:r w:rsidR="000C0197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</w:t>
            </w:r>
          </w:p>
          <w:p w14:paraId="6DD56311" w14:textId="4E57E847" w:rsidR="002B274D" w:rsidRPr="004B53F9" w:rsidRDefault="000C0197" w:rsidP="000C019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0" w:type="pct"/>
            <w:gridSpan w:val="4"/>
            <w:vAlign w:val="center"/>
          </w:tcPr>
          <w:p w14:paraId="2E4675BE" w14:textId="77777777" w:rsidR="002B274D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资产与实验室</w:t>
            </w:r>
          </w:p>
          <w:p w14:paraId="601FC985" w14:textId="01B958DD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管理处</w:t>
            </w:r>
            <w:r w:rsidR="00C35F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主要负责人</w:t>
            </w: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1480" w:type="pct"/>
            <w:gridSpan w:val="3"/>
            <w:vAlign w:val="center"/>
          </w:tcPr>
          <w:p w14:paraId="13F43118" w14:textId="77777777" w:rsidR="000C0197" w:rsidRDefault="000C0197" w:rsidP="000C019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1A0C2EB4" w14:textId="77777777" w:rsidR="000C0197" w:rsidRDefault="000C0197" w:rsidP="000C0197">
            <w:pPr>
              <w:widowControl/>
              <w:ind w:right="22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60685FB8" w14:textId="26C154A3" w:rsidR="000C0197" w:rsidRDefault="00154150" w:rsidP="000C019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签名</w:t>
            </w:r>
            <w:r w:rsidR="000C0197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（盖章）： </w:t>
            </w:r>
            <w:r w:rsidR="000C0197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</w:t>
            </w:r>
          </w:p>
          <w:p w14:paraId="4854CAEF" w14:textId="1F2CF5C1" w:rsidR="002B274D" w:rsidRPr="004B53F9" w:rsidRDefault="000C0197" w:rsidP="000C0197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</w:t>
            </w:r>
            <w:r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2B274D" w:rsidRPr="00161980" w14:paraId="2458DC82" w14:textId="77777777" w:rsidTr="000C0197">
        <w:trPr>
          <w:trHeight w:val="1021"/>
          <w:jc w:val="center"/>
        </w:trPr>
        <w:tc>
          <w:tcPr>
            <w:tcW w:w="1166" w:type="pct"/>
            <w:gridSpan w:val="2"/>
            <w:vAlign w:val="center"/>
          </w:tcPr>
          <w:p w14:paraId="507F5383" w14:textId="77777777" w:rsidR="002B274D" w:rsidRPr="004B53F9" w:rsidRDefault="002B274D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党委组织部</w:t>
            </w:r>
          </w:p>
          <w:p w14:paraId="3FB3B383" w14:textId="6AE34B64" w:rsidR="002B274D" w:rsidRPr="00161980" w:rsidRDefault="00C35F1B" w:rsidP="005A334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主要负责人</w:t>
            </w:r>
            <w:r w:rsidR="002B274D"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834" w:type="pct"/>
            <w:gridSpan w:val="9"/>
            <w:vAlign w:val="center"/>
          </w:tcPr>
          <w:p w14:paraId="6BFA8A25" w14:textId="77777777" w:rsidR="002B274D" w:rsidRDefault="002B274D" w:rsidP="00FF294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05929A51" w14:textId="77777777" w:rsidR="002B274D" w:rsidRPr="004B53F9" w:rsidRDefault="002B274D" w:rsidP="00FF2942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6436C60D" w14:textId="7B67B28D" w:rsidR="002B274D" w:rsidRPr="004B53F9" w:rsidRDefault="00F1688E" w:rsidP="00FF2942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签名</w:t>
            </w:r>
            <w:r w:rsidR="00FF294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（盖章）：</w:t>
            </w:r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2B274D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</w:t>
            </w:r>
            <w:r w:rsidR="002B274D"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2B274D" w:rsidRPr="00161980" w14:paraId="4A3A70E2" w14:textId="77777777" w:rsidTr="000C0197">
        <w:trPr>
          <w:trHeight w:val="1021"/>
          <w:jc w:val="center"/>
        </w:trPr>
        <w:tc>
          <w:tcPr>
            <w:tcW w:w="1166" w:type="pct"/>
            <w:gridSpan w:val="2"/>
            <w:vAlign w:val="center"/>
          </w:tcPr>
          <w:p w14:paraId="00101D67" w14:textId="77777777" w:rsidR="002B274D" w:rsidRPr="004B53F9" w:rsidRDefault="002B274D" w:rsidP="004B092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分管或联系校领导</w:t>
            </w:r>
          </w:p>
          <w:p w14:paraId="78176567" w14:textId="77777777" w:rsidR="004B092F" w:rsidRDefault="002B274D" w:rsidP="004B092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意见</w:t>
            </w:r>
          </w:p>
          <w:p w14:paraId="0544B869" w14:textId="013562AE" w:rsidR="002B274D" w:rsidRPr="004B53F9" w:rsidRDefault="002B274D" w:rsidP="004B092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16198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正职离任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填写</w:t>
            </w:r>
            <w:r w:rsidRPr="004B53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3834" w:type="pct"/>
            <w:gridSpan w:val="9"/>
            <w:vAlign w:val="center"/>
          </w:tcPr>
          <w:p w14:paraId="38634C45" w14:textId="77777777" w:rsidR="002B274D" w:rsidRPr="004B53F9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5471B612" w14:textId="77777777" w:rsidR="002B274D" w:rsidRDefault="002B274D" w:rsidP="005A33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  <w:p w14:paraId="2962B159" w14:textId="01C3DA04" w:rsidR="002B274D" w:rsidRPr="004B53F9" w:rsidRDefault="00F1688E" w:rsidP="005A3347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签名</w:t>
            </w:r>
            <w:r w:rsidR="00FF294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：</w:t>
            </w:r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</w:t>
            </w:r>
            <w:r w:rsidR="002B274D">
              <w:rPr>
                <w:rFonts w:asciiTheme="minorEastAsia" w:hAnsiTheme="minorEastAsia" w:cs="宋体"/>
                <w:color w:val="000000"/>
                <w:kern w:val="0"/>
                <w:sz w:val="22"/>
              </w:rPr>
              <w:t xml:space="preserve">            </w:t>
            </w:r>
            <w:r w:rsidR="002B274D" w:rsidRPr="004B53F9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  月  日</w:t>
            </w:r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2B274D" w:rsidRPr="00161980" w14:paraId="2FCDE836" w14:textId="77777777" w:rsidTr="000C0197">
        <w:trPr>
          <w:trHeight w:val="112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66E27A5A" w14:textId="69A59EB4" w:rsidR="002B274D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注：1.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交接单由离任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人员填写，交接工作完成后交接双方在表格下方的签名栏签字确认</w:t>
            </w:r>
            <w:r w:rsidR="00C35F1B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；原则上应于任免通知印发之日起一周内完成</w:t>
            </w:r>
            <w:r w:rsidR="00F1688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5EE73B1A" w14:textId="3325FADC" w:rsidR="002B274D" w:rsidRDefault="002B274D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2.副职离任需交接双方签字后，离任单位</w:t>
            </w:r>
            <w:r w:rsidR="00F7591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主要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负责人签署意见，资产与实验室管理处</w:t>
            </w:r>
            <w:r w:rsidR="00F7591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党委组织部</w:t>
            </w:r>
            <w:r w:rsidR="00F7591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主要负责人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签字确认；正职离任需交接双方签字后，资产与实验室管理处</w:t>
            </w:r>
            <w:r w:rsidR="00F7591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党委组织部</w:t>
            </w:r>
            <w:r w:rsidR="00F7591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主要负责人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签字确认，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离任单位</w:t>
            </w:r>
            <w:r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分管或联系校领导签署意见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。</w:t>
            </w:r>
          </w:p>
          <w:p w14:paraId="67D34A15" w14:textId="608FBB86" w:rsidR="002B274D" w:rsidRPr="00161980" w:rsidRDefault="00C35F1B" w:rsidP="005A3347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3</w:t>
            </w:r>
            <w:r w:rsidR="002B274D"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.</w:t>
            </w:r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交接单一式三份，离任人员、</w:t>
            </w:r>
            <w:r w:rsidR="00CB63D6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离任单位</w:t>
            </w:r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各存一份，一份</w:t>
            </w:r>
            <w:proofErr w:type="gramStart"/>
            <w:r w:rsidR="002B274D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交</w:t>
            </w:r>
            <w:r w:rsidR="002B274D"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党委</w:t>
            </w:r>
            <w:proofErr w:type="gramEnd"/>
            <w:r w:rsidR="002B274D" w:rsidRPr="00161980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组织部备案。</w:t>
            </w:r>
          </w:p>
        </w:tc>
      </w:tr>
    </w:tbl>
    <w:p w14:paraId="1407768A" w14:textId="309AFEAF" w:rsidR="002B274D" w:rsidRPr="002B274D" w:rsidRDefault="00031C2B" w:rsidP="00031C2B">
      <w:r>
        <w:rPr>
          <w:rFonts w:hint="eastAsia"/>
        </w:rPr>
        <w:t>（本表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正反打印）</w:t>
      </w:r>
    </w:p>
    <w:sectPr w:rsidR="002B274D" w:rsidRPr="002B274D" w:rsidSect="004B7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964B" w14:textId="77777777" w:rsidR="008632BE" w:rsidRDefault="008632BE" w:rsidP="00161980">
      <w:r>
        <w:separator/>
      </w:r>
    </w:p>
  </w:endnote>
  <w:endnote w:type="continuationSeparator" w:id="0">
    <w:p w14:paraId="486CC132" w14:textId="77777777" w:rsidR="008632BE" w:rsidRDefault="008632BE" w:rsidP="0016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6238" w14:textId="77777777" w:rsidR="008632BE" w:rsidRDefault="008632BE" w:rsidP="00161980">
      <w:r>
        <w:separator/>
      </w:r>
    </w:p>
  </w:footnote>
  <w:footnote w:type="continuationSeparator" w:id="0">
    <w:p w14:paraId="076D33D9" w14:textId="77777777" w:rsidR="008632BE" w:rsidRDefault="008632BE" w:rsidP="0016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84"/>
    <w:rsid w:val="000239CC"/>
    <w:rsid w:val="00031C2B"/>
    <w:rsid w:val="000C0197"/>
    <w:rsid w:val="000C542A"/>
    <w:rsid w:val="000D03D5"/>
    <w:rsid w:val="000D56A1"/>
    <w:rsid w:val="001504C5"/>
    <w:rsid w:val="00154150"/>
    <w:rsid w:val="00161980"/>
    <w:rsid w:val="00164E17"/>
    <w:rsid w:val="001C562F"/>
    <w:rsid w:val="001C63D1"/>
    <w:rsid w:val="001E4093"/>
    <w:rsid w:val="001E638C"/>
    <w:rsid w:val="00223ADA"/>
    <w:rsid w:val="00234576"/>
    <w:rsid w:val="002369B8"/>
    <w:rsid w:val="00261DFE"/>
    <w:rsid w:val="002A6FB5"/>
    <w:rsid w:val="002B274D"/>
    <w:rsid w:val="002C07A4"/>
    <w:rsid w:val="002D6901"/>
    <w:rsid w:val="003107F6"/>
    <w:rsid w:val="003323D6"/>
    <w:rsid w:val="0034645C"/>
    <w:rsid w:val="00382121"/>
    <w:rsid w:val="003D1B5D"/>
    <w:rsid w:val="003F3300"/>
    <w:rsid w:val="0044333E"/>
    <w:rsid w:val="00492411"/>
    <w:rsid w:val="004963AA"/>
    <w:rsid w:val="004B092F"/>
    <w:rsid w:val="004B53F9"/>
    <w:rsid w:val="004B7B26"/>
    <w:rsid w:val="00525B43"/>
    <w:rsid w:val="005848C7"/>
    <w:rsid w:val="005A57E4"/>
    <w:rsid w:val="005B2D6B"/>
    <w:rsid w:val="005C478A"/>
    <w:rsid w:val="005D269E"/>
    <w:rsid w:val="00603505"/>
    <w:rsid w:val="0062616F"/>
    <w:rsid w:val="00674729"/>
    <w:rsid w:val="006C39EB"/>
    <w:rsid w:val="006D6CFB"/>
    <w:rsid w:val="00717A1D"/>
    <w:rsid w:val="00735285"/>
    <w:rsid w:val="007463F9"/>
    <w:rsid w:val="0075055A"/>
    <w:rsid w:val="007527D6"/>
    <w:rsid w:val="007754B6"/>
    <w:rsid w:val="007A2384"/>
    <w:rsid w:val="007D5239"/>
    <w:rsid w:val="0083107C"/>
    <w:rsid w:val="00831DAA"/>
    <w:rsid w:val="00850C59"/>
    <w:rsid w:val="008627A8"/>
    <w:rsid w:val="008632BE"/>
    <w:rsid w:val="008702BA"/>
    <w:rsid w:val="008C5F83"/>
    <w:rsid w:val="0094246A"/>
    <w:rsid w:val="0095533D"/>
    <w:rsid w:val="009650D6"/>
    <w:rsid w:val="009B4A9E"/>
    <w:rsid w:val="009D5724"/>
    <w:rsid w:val="009F17E5"/>
    <w:rsid w:val="00A37EC3"/>
    <w:rsid w:val="00A43963"/>
    <w:rsid w:val="00A53970"/>
    <w:rsid w:val="00AC1404"/>
    <w:rsid w:val="00AF5C9A"/>
    <w:rsid w:val="00B120B9"/>
    <w:rsid w:val="00B17BF0"/>
    <w:rsid w:val="00B20532"/>
    <w:rsid w:val="00B73AFA"/>
    <w:rsid w:val="00BB06F4"/>
    <w:rsid w:val="00C35F1B"/>
    <w:rsid w:val="00C36A75"/>
    <w:rsid w:val="00C52046"/>
    <w:rsid w:val="00CB63D6"/>
    <w:rsid w:val="00CC41EA"/>
    <w:rsid w:val="00CD2459"/>
    <w:rsid w:val="00D066FA"/>
    <w:rsid w:val="00D07A94"/>
    <w:rsid w:val="00D249B0"/>
    <w:rsid w:val="00D45780"/>
    <w:rsid w:val="00D70F09"/>
    <w:rsid w:val="00D73A6D"/>
    <w:rsid w:val="00D76AA8"/>
    <w:rsid w:val="00E24BCC"/>
    <w:rsid w:val="00E267AA"/>
    <w:rsid w:val="00E404F2"/>
    <w:rsid w:val="00E65C94"/>
    <w:rsid w:val="00E66A13"/>
    <w:rsid w:val="00E714C7"/>
    <w:rsid w:val="00E84233"/>
    <w:rsid w:val="00E9586D"/>
    <w:rsid w:val="00EA0806"/>
    <w:rsid w:val="00EA349F"/>
    <w:rsid w:val="00EE6EF2"/>
    <w:rsid w:val="00EF63FC"/>
    <w:rsid w:val="00F1688E"/>
    <w:rsid w:val="00F7591D"/>
    <w:rsid w:val="00F87E7E"/>
    <w:rsid w:val="00F917F6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1F0B"/>
  <w15:docId w15:val="{8C316631-9E37-47D7-B981-7D3CD54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98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63A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63A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63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63A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6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3ED-0D22-49C9-ABE1-F204D4C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14</cp:revision>
  <dcterms:created xsi:type="dcterms:W3CDTF">2024-02-06T02:45:00Z</dcterms:created>
  <dcterms:modified xsi:type="dcterms:W3CDTF">2024-02-06T07:17:00Z</dcterms:modified>
</cp:coreProperties>
</file>